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59BB7" w14:textId="2E7DC6F0" w:rsidR="009A0487" w:rsidRPr="009C541F" w:rsidRDefault="006138BD">
      <w:pPr>
        <w:pStyle w:val="Ttulo"/>
      </w:pPr>
      <w:r>
        <w:t>E</w:t>
      </w:r>
      <w:r w:rsidRPr="006138BD">
        <w:t xml:space="preserve">lectrochemical </w:t>
      </w:r>
      <w:r>
        <w:t>nano</w:t>
      </w:r>
      <w:r w:rsidRPr="006138BD">
        <w:t xml:space="preserve">biosensor for </w:t>
      </w:r>
      <w:r>
        <w:t>miRNA</w:t>
      </w:r>
      <w:r w:rsidRPr="006138BD">
        <w:t xml:space="preserve"> detection as early biomarkers of gastric cancer</w:t>
      </w:r>
    </w:p>
    <w:p w14:paraId="01FB403F" w14:textId="225E28EB" w:rsidR="00F6568B" w:rsidRPr="00F6568B" w:rsidRDefault="00E145C8" w:rsidP="00327CAE">
      <w:pPr>
        <w:pStyle w:val="Authors"/>
        <w:ind w:left="0"/>
        <w:rPr>
          <w:lang w:val="es-CL"/>
        </w:rPr>
      </w:pPr>
      <w:r w:rsidRPr="00E145C8">
        <w:rPr>
          <w:lang w:val="es-CL"/>
        </w:rPr>
        <w:t xml:space="preserve">                       </w:t>
      </w:r>
      <w:r w:rsidR="00BB20D4" w:rsidRPr="00BB20D4">
        <w:rPr>
          <w:lang w:val="es-CL"/>
        </w:rPr>
        <w:t xml:space="preserve"> </w:t>
      </w:r>
      <w:r w:rsidRPr="00BB20D4">
        <w:rPr>
          <w:lang w:val="es-CL"/>
        </w:rPr>
        <w:t xml:space="preserve">  </w:t>
      </w:r>
      <w:r w:rsidR="00F6568B" w:rsidRPr="00F6568B">
        <w:rPr>
          <w:u w:val="single"/>
          <w:lang w:val="es-CL"/>
        </w:rPr>
        <w:t xml:space="preserve">Adrian Ges </w:t>
      </w:r>
      <w:proofErr w:type="spellStart"/>
      <w:proofErr w:type="gramStart"/>
      <w:r w:rsidR="00F6568B" w:rsidRPr="00F6568B">
        <w:rPr>
          <w:u w:val="single"/>
          <w:vertAlign w:val="superscript"/>
          <w:lang w:val="es-CL"/>
        </w:rPr>
        <w:t>a,e</w:t>
      </w:r>
      <w:proofErr w:type="spellEnd"/>
      <w:proofErr w:type="gramEnd"/>
      <w:r w:rsidR="00F6568B" w:rsidRPr="00F6568B">
        <w:rPr>
          <w:vertAlign w:val="superscript"/>
          <w:lang w:val="es-CL"/>
        </w:rPr>
        <w:t>*</w:t>
      </w:r>
      <w:r w:rsidR="00F6568B" w:rsidRPr="00F6568B">
        <w:rPr>
          <w:lang w:val="es-CL"/>
        </w:rPr>
        <w:t xml:space="preserve">, Gabriela Sánchez </w:t>
      </w:r>
      <w:r w:rsidR="00F6568B" w:rsidRPr="00F6568B">
        <w:rPr>
          <w:vertAlign w:val="superscript"/>
          <w:lang w:val="es-CL"/>
        </w:rPr>
        <w:t xml:space="preserve">b </w:t>
      </w:r>
      <w:r w:rsidR="00F6568B" w:rsidRPr="00F6568B">
        <w:rPr>
          <w:lang w:val="es-CL"/>
        </w:rPr>
        <w:t xml:space="preserve">, Javier Morales </w:t>
      </w:r>
      <w:r w:rsidR="00F6568B" w:rsidRPr="00F6568B">
        <w:rPr>
          <w:vertAlign w:val="superscript"/>
          <w:lang w:val="es-CL"/>
        </w:rPr>
        <w:t>c</w:t>
      </w:r>
      <w:r w:rsidR="00F6568B" w:rsidRPr="00F6568B">
        <w:rPr>
          <w:lang w:val="es-CL"/>
        </w:rPr>
        <w:t xml:space="preserve">, Sylvain Ladame </w:t>
      </w:r>
      <w:r w:rsidR="00F6568B" w:rsidRPr="00F6568B">
        <w:rPr>
          <w:vertAlign w:val="superscript"/>
          <w:lang w:val="es-CL"/>
        </w:rPr>
        <w:t xml:space="preserve">d </w:t>
      </w:r>
    </w:p>
    <w:p w14:paraId="2DA85A70" w14:textId="1C1677E3" w:rsidR="009835AC" w:rsidRPr="009835AC" w:rsidRDefault="009835AC" w:rsidP="00BB20D4">
      <w:pPr>
        <w:pStyle w:val="Authors"/>
        <w:spacing w:after="0"/>
        <w:ind w:left="0"/>
        <w:rPr>
          <w:b w:val="0"/>
        </w:rPr>
      </w:pPr>
      <w:proofErr w:type="gramStart"/>
      <w:r>
        <w:rPr>
          <w:b w:val="0"/>
        </w:rPr>
        <w:t>a</w:t>
      </w:r>
      <w:proofErr w:type="gramEnd"/>
      <w:r>
        <w:rPr>
          <w:b w:val="0"/>
        </w:rPr>
        <w:t xml:space="preserve"> </w:t>
      </w:r>
      <w:r w:rsidRPr="009835AC">
        <w:rPr>
          <w:b w:val="0"/>
        </w:rPr>
        <w:t xml:space="preserve">Universidad de Concepción, Departamento de </w:t>
      </w:r>
      <w:proofErr w:type="spellStart"/>
      <w:r w:rsidRPr="009835AC">
        <w:rPr>
          <w:b w:val="0"/>
        </w:rPr>
        <w:t>Ingeniería</w:t>
      </w:r>
      <w:proofErr w:type="spellEnd"/>
      <w:r w:rsidRPr="009835AC">
        <w:rPr>
          <w:b w:val="0"/>
        </w:rPr>
        <w:t xml:space="preserve"> de </w:t>
      </w:r>
      <w:proofErr w:type="spellStart"/>
      <w:r w:rsidRPr="009835AC">
        <w:rPr>
          <w:b w:val="0"/>
        </w:rPr>
        <w:t>Materiales</w:t>
      </w:r>
      <w:proofErr w:type="spellEnd"/>
      <w:r w:rsidRPr="009835AC">
        <w:rPr>
          <w:b w:val="0"/>
        </w:rPr>
        <w:t>,</w:t>
      </w:r>
      <w:r>
        <w:rPr>
          <w:b w:val="0"/>
        </w:rPr>
        <w:t xml:space="preserve"> </w:t>
      </w:r>
      <w:r w:rsidRPr="009835AC">
        <w:rPr>
          <w:b w:val="0"/>
        </w:rPr>
        <w:t>Concepción, Chile, 4030000</w:t>
      </w:r>
    </w:p>
    <w:p w14:paraId="2EA24817" w14:textId="77777777" w:rsidR="009835AC" w:rsidRPr="009835AC" w:rsidRDefault="009835AC" w:rsidP="00BB20D4">
      <w:pPr>
        <w:pStyle w:val="Authors"/>
        <w:spacing w:after="0"/>
        <w:ind w:left="0"/>
        <w:rPr>
          <w:b w:val="0"/>
        </w:rPr>
      </w:pPr>
      <w:r w:rsidRPr="009835AC">
        <w:rPr>
          <w:b w:val="0"/>
        </w:rPr>
        <w:t>b Universidad de Concepción, Facultad de Odontología, Concepción, Chile, 4030000</w:t>
      </w:r>
    </w:p>
    <w:p w14:paraId="22B4662F" w14:textId="77777777" w:rsidR="009835AC" w:rsidRPr="009835AC" w:rsidRDefault="009835AC" w:rsidP="00BB20D4">
      <w:pPr>
        <w:pStyle w:val="Authors"/>
        <w:spacing w:after="0"/>
        <w:ind w:left="0"/>
        <w:rPr>
          <w:b w:val="0"/>
        </w:rPr>
      </w:pPr>
      <w:r w:rsidRPr="009835AC">
        <w:rPr>
          <w:b w:val="0"/>
        </w:rPr>
        <w:t>c Universidad de Chile, Facultad de Ciencias Químicas y Farmacéuticas, Santiago de Chile, Chile, 8330015</w:t>
      </w:r>
    </w:p>
    <w:p w14:paraId="7DC0EC04" w14:textId="77777777" w:rsidR="009835AC" w:rsidRPr="009835AC" w:rsidRDefault="009835AC" w:rsidP="00BB20D4">
      <w:pPr>
        <w:pStyle w:val="Authors"/>
        <w:spacing w:after="0"/>
        <w:ind w:left="0"/>
        <w:rPr>
          <w:b w:val="0"/>
        </w:rPr>
      </w:pPr>
      <w:r w:rsidRPr="009835AC">
        <w:rPr>
          <w:b w:val="0"/>
        </w:rPr>
        <w:t xml:space="preserve">d Imperial College, </w:t>
      </w:r>
      <w:proofErr w:type="spellStart"/>
      <w:r w:rsidRPr="009835AC">
        <w:rPr>
          <w:b w:val="0"/>
        </w:rPr>
        <w:t>Bioengenireeng</w:t>
      </w:r>
      <w:proofErr w:type="spellEnd"/>
      <w:r w:rsidRPr="009835AC">
        <w:rPr>
          <w:b w:val="0"/>
        </w:rPr>
        <w:t xml:space="preserve"> Department, </w:t>
      </w:r>
      <w:proofErr w:type="spellStart"/>
      <w:r w:rsidRPr="009835AC">
        <w:rPr>
          <w:b w:val="0"/>
        </w:rPr>
        <w:t>Londres</w:t>
      </w:r>
      <w:proofErr w:type="spellEnd"/>
      <w:r w:rsidRPr="009835AC">
        <w:rPr>
          <w:b w:val="0"/>
        </w:rPr>
        <w:t xml:space="preserve">, Reino </w:t>
      </w:r>
      <w:proofErr w:type="spellStart"/>
      <w:r w:rsidRPr="009835AC">
        <w:rPr>
          <w:b w:val="0"/>
        </w:rPr>
        <w:t>Unido</w:t>
      </w:r>
      <w:proofErr w:type="spellEnd"/>
      <w:r w:rsidRPr="009835AC">
        <w:rPr>
          <w:b w:val="0"/>
        </w:rPr>
        <w:t>, W12 0BZ</w:t>
      </w:r>
    </w:p>
    <w:p w14:paraId="6D2B5893" w14:textId="77777777" w:rsidR="009835AC" w:rsidRPr="009835AC" w:rsidRDefault="009835AC" w:rsidP="00BB20D4">
      <w:pPr>
        <w:pStyle w:val="Authors"/>
        <w:spacing w:after="0"/>
        <w:ind w:left="0"/>
        <w:rPr>
          <w:b w:val="0"/>
        </w:rPr>
      </w:pPr>
      <w:proofErr w:type="spellStart"/>
      <w:r w:rsidRPr="009835AC">
        <w:rPr>
          <w:b w:val="0"/>
        </w:rPr>
        <w:t>e</w:t>
      </w:r>
      <w:proofErr w:type="spellEnd"/>
      <w:r w:rsidRPr="009835AC">
        <w:rPr>
          <w:b w:val="0"/>
        </w:rPr>
        <w:t xml:space="preserve"> Universidad de la Habana, Instituto Superior de Tecnologías y Ciencias Aplicadas, La Habana, Cuba,10400 </w:t>
      </w:r>
    </w:p>
    <w:p w14:paraId="17768255" w14:textId="67E6B995" w:rsidR="009A0487" w:rsidRDefault="00BB20D4" w:rsidP="00EE07BA">
      <w:pPr>
        <w:pStyle w:val="E-mail"/>
        <w:ind w:left="0"/>
      </w:pPr>
      <w:r>
        <w:t xml:space="preserve">                          </w:t>
      </w:r>
      <w:hyperlink r:id="rId8" w:history="1">
        <w:r w:rsidRPr="002B63A1">
          <w:rPr>
            <w:rStyle w:val="Hipervnculo"/>
          </w:rPr>
          <w:t>ages@udec.cl</w:t>
        </w:r>
      </w:hyperlink>
      <w:r w:rsidR="00EE07BA">
        <w:t xml:space="preserve"> </w:t>
      </w:r>
    </w:p>
    <w:p w14:paraId="0DD77136" w14:textId="77777777" w:rsidR="00327F90" w:rsidRDefault="009A0487" w:rsidP="00327F90">
      <w:pPr>
        <w:pStyle w:val="Abstract"/>
      </w:pPr>
      <w:r>
        <w:rPr>
          <w:b/>
        </w:rPr>
        <w:t>Abstract</w:t>
      </w:r>
      <w:r>
        <w:t xml:space="preserve">. </w:t>
      </w:r>
      <w:r w:rsidR="00517F1C" w:rsidRPr="00517F1C">
        <w:t>Cancer remains a leading global health challenge, with gastric cancer posing a significant threat, particularly in South American regions like Chile, where it is the leading cause of tumour-related mortality</w:t>
      </w:r>
      <w:r w:rsidR="00517F1C" w:rsidRPr="00517F1C">
        <w:rPr>
          <w:vertAlign w:val="superscript"/>
        </w:rPr>
        <w:fldChar w:fldCharType="begin"/>
      </w:r>
      <w:r w:rsidR="00517F1C" w:rsidRPr="00517F1C">
        <w:rPr>
          <w:vertAlign w:val="superscript"/>
        </w:rPr>
        <w:instrText xml:space="preserve"> ADDIN ZOTERO_ITEM CSL_CITATION {"citationID":"MoFCiliu","properties":{"formattedCitation":"\\super 1,2\\nosupersub{}","plainCitation":"1,2","noteIndex":0},"citationItems":[{"id":5605,"uris":["http://zotero.org/users/9594958/items/2XBQGBLE"],"itemData":{"id":5605,"type":"article-journal","abstract":"Cancer is one of the most fatal diseases of recent times that causes several deaths every year. The disease variations in different parts of the world, the impact of available medical facilities, and other socio-economic factors have impacted the proper management of this disease. The comparative statistical data of cancer types like breast, prostate, colon, lung, lymph, blood, brain, and kidney cancers can be used to design treatment strategies and therapeutics development. With the advancement of science, several drugs besides diagnostic methods have emerged to control respective cancer and have assisted in curing this disease to some extent. The comparative statistics analysis for cancer about current prevalence is included here to bring a clear framework for the efforts towards future drug development to manage this disease. The availability of new diagnostics and therapeutics and advanced medical facilities in clinics impact cancer statistics. An evaluation of current trends and statistics of cancer pathology vis-à-vis theranostics (diagnostics as well as therapeutics) progress with possible application in clinical settings constitutes the core part of the discussion in this review.\nURN:NBN:sciencein.cbl.2023.v10.451","container-title":"Chemical Biology Letters","DOI":"https://scholar.google.com/scholar?q=urn:nbn:sciencein.cbl.2023.v10.451","ISSN":"2347-9825","issue":"1","language":"en","license":"Copyright (c) 2022 ScienceIn Publishing","note":"number: 1","page":"451-451","source":"pubs.thesciencein.org","title":"Global Cancer Statistics 2022: the trends projection analysis","title-short":"Global Cancer Statistics 2022","volume":"10","author":[{"family":"Chhikara","given":"Bhupender S."},{"family":"Parang","given":"Keykavous"}],"issued":{"date-parts":[["2023"]]}}},{"id":3953,"uris":["http://zotero.org/users/9594958/items/DN56HUYQ"],"itemData":{"id":3953,"type":"report","event-place":"Santiago de Chile","publisher-place":"Santiago de Chile","title":"SEGUNDO INFORME NACIONAL DE VIGILANCIA DE CÁNCER EN CHILE. Estimación de Incidencia","URL":"http://epi.minsal.cl/mortalidad-incidencia-y-sobrevida-de-cancer/","author":[{"literal":"Ministerio de Salud"}],"issued":{"date-parts":[["2020"]]}}}],"schema":"https://github.com/citation-style-language/schema/raw/master/csl-citation.json"} </w:instrText>
      </w:r>
      <w:r w:rsidR="00517F1C" w:rsidRPr="00517F1C">
        <w:rPr>
          <w:vertAlign w:val="superscript"/>
        </w:rPr>
        <w:fldChar w:fldCharType="separate"/>
      </w:r>
      <w:r w:rsidR="00517F1C" w:rsidRPr="00517F1C">
        <w:rPr>
          <w:vertAlign w:val="superscript"/>
        </w:rPr>
        <w:t>1,2</w:t>
      </w:r>
      <w:r w:rsidR="00517F1C" w:rsidRPr="00517F1C">
        <w:fldChar w:fldCharType="end"/>
      </w:r>
      <w:r w:rsidR="00517F1C" w:rsidRPr="00517F1C">
        <w:t>. Despite their utility, current tumour biomarker detection methods (i.e. RT-PCR, ELISA) suffer from limitations such as high cost, low throughput, and invasive sampling procedures</w:t>
      </w:r>
      <w:r w:rsidR="00517F1C" w:rsidRPr="00517F1C">
        <w:rPr>
          <w:vertAlign w:val="superscript"/>
        </w:rPr>
        <w:fldChar w:fldCharType="begin"/>
      </w:r>
      <w:r w:rsidR="00517F1C" w:rsidRPr="00517F1C">
        <w:rPr>
          <w:vertAlign w:val="superscript"/>
        </w:rPr>
        <w:instrText xml:space="preserve"> ADDIN ZOTERO_ITEM CSL_CITATION {"citationID":"fZuUIiuo","properties":{"formattedCitation":"\\super 3\\nosupersub{}","plainCitation":"3","noteIndex":0},"citationItems":[{"id":777,"uris":["http://zotero.org/users/9594958/items/HZ2HVESQ"],"itemData":{"id":777,"type":"article-journal","abstract":"The timely diagnosis of cancer represents the best chance to increase treatment success and to reduce cancer deaths. Nanomaterials-based biosensors containing graphene quantum dots (GQDs) as a sensing platform show great promise in the early and sensitive detection of cancer biomarkers, due to their unique chemical and physical properties, large surface area and ease of functionalization with different biomolecules able to recognize relevant cancer biomarkers. In this review, we report different advanced strategies for the synthesis and functionalization of GQDs with different agents able to selectively recognize and convert into a signal specific cancer biomarkers such as antigens, enzymes, hormones, proteins, cancer related byproducts, biomolecules exposed on the surface of cancer cells and changes in pH. The developed optical, electrochemical and chemiluminescent biosensors based on GQDs have been shown to ensure the effective diagnosis of several cancer diseases as well as the possibility to evaluate the effectiveness of anticancer therapy. The wide linear range of detection and low detection limits recorded for most of the reported biosensors highlight their great potential in clinics for the diagnosis and management of cancer.","container-title":"Cancers","DOI":"10.3390/cancers13133194","issue":"13","language":"en","license":"http://creativecommons.org/licenses/by/3.0/","note":"number: 13\npublisher: Multidisciplinary Digital Publishing Institute","page":"3194","source":"www.mdpi.com","title":"Smart Biosensors for Cancer Diagnosis Based on Graphene Quantum Dots","volume":"13","author":[{"family":"Iannazzo","given":"Daniela"},{"family":"Espro","given":"Claudia"},{"family":"Celesti","given":"Consuelo"},{"family":"Ferlazzo","given":"Angelo"},{"family":"Neri","given":"Giovanni"}],"issued":{"date-parts":[["2021",1]]}}}],"schema":"https://github.com/citation-style-language/schema/raw/master/csl-citation.json"} </w:instrText>
      </w:r>
      <w:r w:rsidR="00517F1C" w:rsidRPr="00517F1C">
        <w:rPr>
          <w:vertAlign w:val="superscript"/>
        </w:rPr>
        <w:fldChar w:fldCharType="separate"/>
      </w:r>
      <w:r w:rsidR="00517F1C" w:rsidRPr="00517F1C">
        <w:rPr>
          <w:vertAlign w:val="superscript"/>
        </w:rPr>
        <w:t>3</w:t>
      </w:r>
      <w:r w:rsidR="00517F1C" w:rsidRPr="00517F1C">
        <w:fldChar w:fldCharType="end"/>
      </w:r>
      <w:r w:rsidR="00517F1C" w:rsidRPr="00517F1C">
        <w:t xml:space="preserve">. Addressing these challenges, we developed an electrochemical biosensor leveraging hybrid dendritic nanomaterials coupled with peptide nucleic acids (PNA) for sensitively detecting of miR-21 and miR-150, both associated with gastric cancer. The nanocomposite was synthesized using a closed microwave reactor, and PNA probes were immobilized on PAMAM-modified working electrodes via biotin-avidin coupling. Electrochemical impedance spectroscopy (EIS) and cyclic voltammetry (CV) were employed throughout the sensor fabrication process. Sensitivity was optimized by evaluating probe concentration, incubation, blocking, and anchoring times. The sensor demonstrated high stability over a month at low temperatures and exhibited a linear response across a broad miRNA concentration range (1 aM to 1 </w:t>
      </w:r>
      <w:proofErr w:type="spellStart"/>
      <w:r w:rsidR="00517F1C" w:rsidRPr="00517F1C">
        <w:t>μM</w:t>
      </w:r>
      <w:proofErr w:type="spellEnd"/>
      <w:r w:rsidR="00517F1C" w:rsidRPr="00517F1C">
        <w:t>). Notably, non-complementary miRNAs did not produce significant signal interference, ensuring high specificity. Preliminary tests using real plasma samples and cell cultures from healthy and cancer patients showed the sensor's capability to differentiate between miRNA expression levels in these groups, with results correlating with those obtained via square wave voltammetry (SWV) and EIS. Compared to similar studies, such as Zhuang et al.</w:t>
      </w:r>
      <w:r w:rsidR="00517F1C" w:rsidRPr="00517F1C">
        <w:rPr>
          <w:vertAlign w:val="superscript"/>
        </w:rPr>
        <w:fldChar w:fldCharType="begin"/>
      </w:r>
      <w:r w:rsidR="00517F1C" w:rsidRPr="00517F1C">
        <w:rPr>
          <w:vertAlign w:val="superscript"/>
        </w:rPr>
        <w:instrText xml:space="preserve"> ADDIN ZOTERO_ITEM CSL_CITATION {"citationID":"BBaoz7dw","properties":{"formattedCitation":"\\super 4\\nosupersub{}","plainCitation":"4","noteIndex":0},"citationItems":[{"id":5471,"uris":["http://zotero.org/users/9594958/items/SR7JE4S8"],"itemData":{"id":5471,"type":"article-journal","abstract":"Gastric cancer (GC) is a common malignant digestive tract tumor that leads to high mortality worldwide. Early diagnosis of GC is very important for adequate treatment. However, a rapid, specific and sensitive method for the detection of GC is currently not available. Here, a biosensor CPs/AuNP-AuE, the gold nanoparticle (AuNP)-modified Au electrode (AuE) which was coupled with DNA capture probes (CPs), was developed to detect the content of miR-100 in the sera of GC patients. The results showed that AuNPs were uniformly deposited on the surface of AuE. AuNPs enhanced the electrical conductivity and improved the effective area of AuE. CPs were successfully assembled on AuNP-AuE that could be digested by duplex-specific nuclease (DSN) from the miR-100/CPs complex on the electrode, improving the sensitivity of the biosensor by recycling miR-100. The data revealed that the biosensor was highly specific for the detection of miR-100, which had the ability to distinguish one base-pair mistake in miR-100. The detection of the biosensor for miR-100 ranged from 100 aM to 10 pM and the limit of detection (LOD) was estimated to be 100 aM. The detection results of 100 human sera samples using this biosensor indicated that the cutoff for the detection of gastric cancer was 5 fM. Therefore the biosensor developed in our study served as a rapid, specific and sensitive strategy for the detection of gastric cancer in clinic.","container-title":"Talanta","DOI":"10.1016/j.talanta.2020.121981","ISSN":"0039-9140","journalAbbreviation":"Talanta","language":"en","page":"121981","source":"ScienceDirect","title":"Electrochemical detection of miRNA-100 in the sera of gastric cancer patients based on DSN-assisted amplification","volume":"225","author":[{"family":"Zhuang","given":"Jianjian"},{"family":"Wan","given":"Haitao"},{"family":"Zhang","given":"Xiaobo"}],"issued":{"date-parts":[["2021",4,1]]}}}],"schema":"https://github.com/citation-style-language/schema/raw/master/csl-citation.json"} </w:instrText>
      </w:r>
      <w:r w:rsidR="00517F1C" w:rsidRPr="00517F1C">
        <w:rPr>
          <w:vertAlign w:val="superscript"/>
        </w:rPr>
        <w:fldChar w:fldCharType="separate"/>
      </w:r>
      <w:r w:rsidR="00517F1C" w:rsidRPr="00517F1C">
        <w:rPr>
          <w:vertAlign w:val="superscript"/>
        </w:rPr>
        <w:t>4</w:t>
      </w:r>
      <w:r w:rsidR="00517F1C" w:rsidRPr="00517F1C">
        <w:fldChar w:fldCharType="end"/>
      </w:r>
      <w:r w:rsidR="00517F1C" w:rsidRPr="00517F1C">
        <w:t xml:space="preserve">, where a limit of detection (LOD) of 10 fM was reported for miR-21, our biosensor exhibited superior sensitivity with a LOD of 1 aM, surpassing previous designs like </w:t>
      </w:r>
      <w:proofErr w:type="spellStart"/>
      <w:r w:rsidR="00517F1C" w:rsidRPr="00517F1C">
        <w:t>Pothipor</w:t>
      </w:r>
      <w:proofErr w:type="spellEnd"/>
      <w:r w:rsidR="00517F1C" w:rsidRPr="00517F1C">
        <w:t xml:space="preserve"> et al.</w:t>
      </w:r>
      <w:r w:rsidR="00517F1C" w:rsidRPr="00517F1C">
        <w:rPr>
          <w:vertAlign w:val="superscript"/>
        </w:rPr>
        <w:fldChar w:fldCharType="begin"/>
      </w:r>
      <w:r w:rsidR="00517F1C" w:rsidRPr="00517F1C">
        <w:rPr>
          <w:vertAlign w:val="superscript"/>
        </w:rPr>
        <w:instrText xml:space="preserve"> ADDIN ZOTERO_ITEM CSL_CITATION {"citationID":"gRjlryLk","properties":{"formattedCitation":"\\super 5\\nosupersub{}","plainCitation":"5","noteIndex":0},"citationItems":[{"id":4480,"uris":["http://zotero.org/users/9594958/items/SD9KDRI6"],"itemData":{"id":4480,"type":"article-journal","abstract":"A dual-mode electrochemical biosensor is successfully developed for simultaneous detection of two different kinds of breast cancer biomarkers, namely cancer antigen 15-3 (CA 15-3) and microRNA-21 (miRNA-21), for the first time. The sensor composes of a poly(3-aminobenzylamine)/two-dimensional (2D) molybdenum selenide/graphene oxide nanocomposite modified two-screen-printed carbon electrode array (dual electrode), functionalized individually with 2,3-diaminophenazine-gold nanoparticles and toluidine blue-gold nanoparticles. Both kinds of the redox probe-gold nanoparticles are employed as signaling molecules and supports for immobilization of anti-CA 15-3 antibodies and capture DNA-21 probes, respectively. Due to the good conductivity and high surface-to-volume ratio of the nanocomposite, high amount of the antibodies and capture probes can be immobilized on the modified dual-electrode, giving the efficient duplex detection. Consequently, the biosensor provides good selectivity, and high sensitivity for the dual target analyte detection. The experimental results show that this label-free biosensor exhibits good linear responses to the concentrations of both target analytes with the limits of detection (LODs) of 0.14 U mL−1 and 1.2 fM for CA 15-3 and miRNA-21, respectively. This assay strategy has a great potential to be further developed for the simultaneous detection of a variety of miRNAs and protein biomarkers for point-of-care (POC) diagnostic applications.","container-title":"Colloids and Surfaces B: Biointerfaces","DOI":"10.1016/j.colsurfb.2021.112260","ISSN":"0927-7765","journalAbbreviation":"Colloids and Surfaces B: Biointerfaces","language":"en","page":"112260","source":"ScienceDirect","title":"A gold nanoparticle-dye/poly(3-aminobenzylamine)/two dimensional MoSe2/graphene oxide electrode towards label-free electrochemical biosensor for simultaneous dual-mode detection of cancer antigen 15-3 and microRNA-21","volume":"210","author":[{"family":"Pothipor","given":"Chammari"},{"family":"Bamrungsap","given":"Suwussa"},{"family":"Jakmunee","given":"Jaroon"},{"family":"Ounnunkad","given":"Kontad"}],"issued":{"date-parts":[["2022",2,1]]}}}],"schema":"https://github.com/citation-style-language/schema/raw/master/csl-citation.json"} </w:instrText>
      </w:r>
      <w:r w:rsidR="00517F1C" w:rsidRPr="00517F1C">
        <w:rPr>
          <w:vertAlign w:val="superscript"/>
        </w:rPr>
        <w:fldChar w:fldCharType="separate"/>
      </w:r>
      <w:r w:rsidR="00517F1C" w:rsidRPr="00517F1C">
        <w:rPr>
          <w:vertAlign w:val="superscript"/>
        </w:rPr>
        <w:t>5</w:t>
      </w:r>
      <w:r w:rsidR="00517F1C" w:rsidRPr="00517F1C">
        <w:fldChar w:fldCharType="end"/>
      </w:r>
      <w:r w:rsidR="00517F1C" w:rsidRPr="00517F1C">
        <w:t xml:space="preserve">, which reported a LOD of 1 fM for miR-21 using gold nanoparticle-enhanced electrochemical biosensors. In conclusion, this biosensor represents a promising tool for early gastric cancer detection, offering enhanced sensitivity, stability, and specificity, potentially facilitating point-of-care diagnostics. </w:t>
      </w:r>
    </w:p>
    <w:p w14:paraId="2E907734" w14:textId="4866958B" w:rsidR="00327F90" w:rsidRPr="00327F90" w:rsidRDefault="009A0487" w:rsidP="00BB20D4">
      <w:pPr>
        <w:pStyle w:val="Abstract"/>
        <w:ind w:left="0"/>
      </w:pPr>
      <w:r w:rsidRPr="00327F90">
        <w:rPr>
          <w:b/>
          <w:bCs/>
        </w:rPr>
        <w:t>References</w:t>
      </w:r>
      <w:r w:rsidR="00BB20D4">
        <w:rPr>
          <w:b/>
          <w:bCs/>
        </w:rPr>
        <w:t>:</w:t>
      </w:r>
    </w:p>
    <w:p w14:paraId="2C8A51F4" w14:textId="53B70039" w:rsidR="00327F90" w:rsidRPr="00517F1C" w:rsidRDefault="00327F90" w:rsidP="00327F90">
      <w:pPr>
        <w:pStyle w:val="Abstract"/>
        <w:spacing w:after="0"/>
        <w:ind w:left="0"/>
        <w:rPr>
          <w:lang w:val="pt-BR"/>
        </w:rPr>
      </w:pPr>
      <w:r w:rsidRPr="00517F1C">
        <w:rPr>
          <w:lang w:val="en-US"/>
        </w:rPr>
        <w:fldChar w:fldCharType="begin"/>
      </w:r>
      <w:r w:rsidRPr="00517F1C">
        <w:rPr>
          <w:lang w:val="en-US"/>
        </w:rPr>
        <w:instrText xml:space="preserve"> ADDIN ZOTERO_BIBL {"uncited":[],"omitted":[],"custom":[]} CSL_BIBLIOGRAPHY </w:instrText>
      </w:r>
      <w:r w:rsidRPr="00517F1C">
        <w:rPr>
          <w:lang w:val="en-US"/>
        </w:rPr>
        <w:fldChar w:fldCharType="separate"/>
      </w:r>
      <w:r w:rsidRPr="00517F1C">
        <w:rPr>
          <w:lang w:val="pt-BR"/>
        </w:rPr>
        <w:t>1.</w:t>
      </w:r>
      <w:r w:rsidRPr="00517F1C">
        <w:rPr>
          <w:lang w:val="pt-BR"/>
        </w:rPr>
        <w:tab/>
      </w:r>
      <w:proofErr w:type="spellStart"/>
      <w:r w:rsidRPr="00517F1C">
        <w:rPr>
          <w:lang w:val="pt-BR"/>
        </w:rPr>
        <w:t>Chhikara</w:t>
      </w:r>
      <w:proofErr w:type="spellEnd"/>
      <w:r w:rsidRPr="00517F1C">
        <w:rPr>
          <w:lang w:val="pt-BR"/>
        </w:rPr>
        <w:t xml:space="preserve">, B. S. &amp; </w:t>
      </w:r>
      <w:proofErr w:type="spellStart"/>
      <w:r w:rsidRPr="00517F1C">
        <w:rPr>
          <w:lang w:val="pt-BR"/>
        </w:rPr>
        <w:t>Parang</w:t>
      </w:r>
      <w:proofErr w:type="spellEnd"/>
      <w:r w:rsidRPr="00517F1C">
        <w:rPr>
          <w:lang w:val="pt-BR"/>
        </w:rPr>
        <w:t xml:space="preserve">, K. Global </w:t>
      </w:r>
      <w:proofErr w:type="spellStart"/>
      <w:r w:rsidRPr="00517F1C">
        <w:rPr>
          <w:lang w:val="pt-BR"/>
        </w:rPr>
        <w:t>Cancer</w:t>
      </w:r>
      <w:proofErr w:type="spellEnd"/>
      <w:r w:rsidRPr="00517F1C">
        <w:rPr>
          <w:lang w:val="pt-BR"/>
        </w:rPr>
        <w:t xml:space="preserve"> </w:t>
      </w:r>
      <w:proofErr w:type="spellStart"/>
      <w:r w:rsidRPr="00517F1C">
        <w:rPr>
          <w:lang w:val="pt-BR"/>
        </w:rPr>
        <w:t>Statistics</w:t>
      </w:r>
      <w:proofErr w:type="spellEnd"/>
      <w:r w:rsidRPr="00517F1C">
        <w:rPr>
          <w:lang w:val="pt-BR"/>
        </w:rPr>
        <w:t xml:space="preserve"> 2022: </w:t>
      </w:r>
      <w:proofErr w:type="spellStart"/>
      <w:r w:rsidRPr="00517F1C">
        <w:rPr>
          <w:lang w:val="pt-BR"/>
        </w:rPr>
        <w:t>the</w:t>
      </w:r>
      <w:proofErr w:type="spellEnd"/>
      <w:r w:rsidRPr="00517F1C">
        <w:rPr>
          <w:lang w:val="pt-BR"/>
        </w:rPr>
        <w:t xml:space="preserve"> trends </w:t>
      </w:r>
      <w:proofErr w:type="spellStart"/>
      <w:r w:rsidRPr="00517F1C">
        <w:rPr>
          <w:lang w:val="pt-BR"/>
        </w:rPr>
        <w:t>projection</w:t>
      </w:r>
      <w:proofErr w:type="spellEnd"/>
      <w:r w:rsidRPr="00517F1C">
        <w:rPr>
          <w:lang w:val="pt-BR"/>
        </w:rPr>
        <w:t xml:space="preserve"> </w:t>
      </w:r>
      <w:proofErr w:type="spellStart"/>
      <w:r w:rsidRPr="00517F1C">
        <w:rPr>
          <w:lang w:val="pt-BR"/>
        </w:rPr>
        <w:t>analysis</w:t>
      </w:r>
      <w:proofErr w:type="spellEnd"/>
      <w:r w:rsidRPr="00517F1C">
        <w:rPr>
          <w:lang w:val="pt-BR"/>
        </w:rPr>
        <w:t xml:space="preserve">. </w:t>
      </w:r>
      <w:r w:rsidRPr="00517F1C">
        <w:rPr>
          <w:i/>
          <w:iCs/>
          <w:lang w:val="pt-BR"/>
        </w:rPr>
        <w:t xml:space="preserve">Chemical </w:t>
      </w:r>
      <w:proofErr w:type="spellStart"/>
      <w:r w:rsidRPr="00517F1C">
        <w:rPr>
          <w:i/>
          <w:iCs/>
          <w:lang w:val="pt-BR"/>
        </w:rPr>
        <w:t>Biology</w:t>
      </w:r>
      <w:proofErr w:type="spellEnd"/>
      <w:r w:rsidRPr="00517F1C">
        <w:rPr>
          <w:i/>
          <w:iCs/>
          <w:lang w:val="pt-BR"/>
        </w:rPr>
        <w:t xml:space="preserve"> </w:t>
      </w:r>
      <w:proofErr w:type="spellStart"/>
      <w:r w:rsidRPr="00517F1C">
        <w:rPr>
          <w:i/>
          <w:iCs/>
          <w:lang w:val="pt-BR"/>
        </w:rPr>
        <w:t>Letters</w:t>
      </w:r>
      <w:proofErr w:type="spellEnd"/>
      <w:r w:rsidRPr="00517F1C">
        <w:rPr>
          <w:lang w:val="pt-BR"/>
        </w:rPr>
        <w:t xml:space="preserve"> </w:t>
      </w:r>
      <w:r w:rsidRPr="00517F1C">
        <w:rPr>
          <w:b/>
          <w:bCs/>
          <w:lang w:val="pt-BR"/>
        </w:rPr>
        <w:t>10</w:t>
      </w:r>
      <w:r w:rsidRPr="00517F1C">
        <w:rPr>
          <w:lang w:val="pt-BR"/>
        </w:rPr>
        <w:t>, 451–451 (2023).</w:t>
      </w:r>
    </w:p>
    <w:p w14:paraId="5176B576" w14:textId="77777777" w:rsidR="00327F90" w:rsidRPr="00517F1C" w:rsidRDefault="00327F90" w:rsidP="00327F90">
      <w:pPr>
        <w:pStyle w:val="Abstract"/>
        <w:spacing w:after="0"/>
        <w:ind w:left="0"/>
        <w:rPr>
          <w:lang w:val="pt-BR"/>
        </w:rPr>
      </w:pPr>
      <w:r w:rsidRPr="00517F1C">
        <w:rPr>
          <w:lang w:val="pt-BR"/>
        </w:rPr>
        <w:lastRenderedPageBreak/>
        <w:t>2.</w:t>
      </w:r>
      <w:r w:rsidRPr="00517F1C">
        <w:rPr>
          <w:lang w:val="pt-BR"/>
        </w:rPr>
        <w:tab/>
      </w:r>
      <w:proofErr w:type="spellStart"/>
      <w:r w:rsidRPr="00517F1C">
        <w:rPr>
          <w:lang w:val="pt-BR"/>
        </w:rPr>
        <w:t>Ministerio</w:t>
      </w:r>
      <w:proofErr w:type="spellEnd"/>
      <w:r w:rsidRPr="00517F1C">
        <w:rPr>
          <w:lang w:val="pt-BR"/>
        </w:rPr>
        <w:t xml:space="preserve"> de Salud. </w:t>
      </w:r>
      <w:r w:rsidRPr="00517F1C">
        <w:rPr>
          <w:i/>
          <w:iCs/>
          <w:lang w:val="pt-BR"/>
        </w:rPr>
        <w:t xml:space="preserve">SEGUNDO INFORME NACIONAL DE VIGILANCIA DE CÁNCER EN CHILE. </w:t>
      </w:r>
      <w:proofErr w:type="spellStart"/>
      <w:r w:rsidRPr="00517F1C">
        <w:rPr>
          <w:i/>
          <w:iCs/>
          <w:lang w:val="pt-BR"/>
        </w:rPr>
        <w:t>Estimación</w:t>
      </w:r>
      <w:proofErr w:type="spellEnd"/>
      <w:r w:rsidRPr="00517F1C">
        <w:rPr>
          <w:i/>
          <w:iCs/>
          <w:lang w:val="pt-BR"/>
        </w:rPr>
        <w:t xml:space="preserve"> de </w:t>
      </w:r>
      <w:proofErr w:type="spellStart"/>
      <w:r w:rsidRPr="00517F1C">
        <w:rPr>
          <w:i/>
          <w:iCs/>
          <w:lang w:val="pt-BR"/>
        </w:rPr>
        <w:t>Incidencia</w:t>
      </w:r>
      <w:proofErr w:type="spellEnd"/>
      <w:r w:rsidRPr="00517F1C">
        <w:rPr>
          <w:lang w:val="pt-BR"/>
        </w:rPr>
        <w:t>. http://epi.minsal.cl/mortalidad-incidencia-y-sobrevida-de-cancer/ (2020).</w:t>
      </w:r>
    </w:p>
    <w:p w14:paraId="521C5612" w14:textId="77777777" w:rsidR="00327F90" w:rsidRPr="00517F1C" w:rsidRDefault="00327F90" w:rsidP="00327F90">
      <w:pPr>
        <w:pStyle w:val="Abstract"/>
        <w:spacing w:after="0"/>
        <w:ind w:left="0"/>
        <w:rPr>
          <w:lang w:val="pt-BR"/>
        </w:rPr>
      </w:pPr>
      <w:r w:rsidRPr="00517F1C">
        <w:rPr>
          <w:lang w:val="pt-BR"/>
        </w:rPr>
        <w:t>3.</w:t>
      </w:r>
      <w:r w:rsidRPr="00517F1C">
        <w:rPr>
          <w:lang w:val="pt-BR"/>
        </w:rPr>
        <w:tab/>
      </w:r>
      <w:proofErr w:type="spellStart"/>
      <w:r w:rsidRPr="00517F1C">
        <w:rPr>
          <w:lang w:val="pt-BR"/>
        </w:rPr>
        <w:t>Iannazzo</w:t>
      </w:r>
      <w:proofErr w:type="spellEnd"/>
      <w:r w:rsidRPr="00517F1C">
        <w:rPr>
          <w:lang w:val="pt-BR"/>
        </w:rPr>
        <w:t xml:space="preserve">, D., </w:t>
      </w:r>
      <w:proofErr w:type="spellStart"/>
      <w:r w:rsidRPr="00517F1C">
        <w:rPr>
          <w:lang w:val="pt-BR"/>
        </w:rPr>
        <w:t>Espro</w:t>
      </w:r>
      <w:proofErr w:type="spellEnd"/>
      <w:r w:rsidRPr="00517F1C">
        <w:rPr>
          <w:lang w:val="pt-BR"/>
        </w:rPr>
        <w:t xml:space="preserve">, C., </w:t>
      </w:r>
      <w:proofErr w:type="spellStart"/>
      <w:r w:rsidRPr="00517F1C">
        <w:rPr>
          <w:lang w:val="pt-BR"/>
        </w:rPr>
        <w:t>Celesti</w:t>
      </w:r>
      <w:proofErr w:type="spellEnd"/>
      <w:r w:rsidRPr="00517F1C">
        <w:rPr>
          <w:lang w:val="pt-BR"/>
        </w:rPr>
        <w:t xml:space="preserve">, C., </w:t>
      </w:r>
      <w:proofErr w:type="spellStart"/>
      <w:r w:rsidRPr="00517F1C">
        <w:rPr>
          <w:lang w:val="pt-BR"/>
        </w:rPr>
        <w:t>Ferlazzo</w:t>
      </w:r>
      <w:proofErr w:type="spellEnd"/>
      <w:r w:rsidRPr="00517F1C">
        <w:rPr>
          <w:lang w:val="pt-BR"/>
        </w:rPr>
        <w:t xml:space="preserve">, A. &amp; Neri, G. </w:t>
      </w:r>
      <w:proofErr w:type="spellStart"/>
      <w:r w:rsidRPr="00517F1C">
        <w:rPr>
          <w:lang w:val="pt-BR"/>
        </w:rPr>
        <w:t>Smart</w:t>
      </w:r>
      <w:proofErr w:type="spellEnd"/>
      <w:r w:rsidRPr="00517F1C">
        <w:rPr>
          <w:lang w:val="pt-BR"/>
        </w:rPr>
        <w:t xml:space="preserve"> </w:t>
      </w:r>
      <w:proofErr w:type="spellStart"/>
      <w:r w:rsidRPr="00517F1C">
        <w:rPr>
          <w:lang w:val="pt-BR"/>
        </w:rPr>
        <w:t>Biosensors</w:t>
      </w:r>
      <w:proofErr w:type="spellEnd"/>
      <w:r w:rsidRPr="00517F1C">
        <w:rPr>
          <w:lang w:val="pt-BR"/>
        </w:rPr>
        <w:t xml:space="preserve"> for </w:t>
      </w:r>
      <w:proofErr w:type="spellStart"/>
      <w:r w:rsidRPr="00517F1C">
        <w:rPr>
          <w:lang w:val="pt-BR"/>
        </w:rPr>
        <w:t>Cancer</w:t>
      </w:r>
      <w:proofErr w:type="spellEnd"/>
      <w:r w:rsidRPr="00517F1C">
        <w:rPr>
          <w:lang w:val="pt-BR"/>
        </w:rPr>
        <w:t xml:space="preserve"> </w:t>
      </w:r>
      <w:proofErr w:type="spellStart"/>
      <w:r w:rsidRPr="00517F1C">
        <w:rPr>
          <w:lang w:val="pt-BR"/>
        </w:rPr>
        <w:t>Diagnosis</w:t>
      </w:r>
      <w:proofErr w:type="spellEnd"/>
      <w:r w:rsidRPr="00517F1C">
        <w:rPr>
          <w:lang w:val="pt-BR"/>
        </w:rPr>
        <w:t xml:space="preserve"> </w:t>
      </w:r>
      <w:proofErr w:type="spellStart"/>
      <w:r w:rsidRPr="00517F1C">
        <w:rPr>
          <w:lang w:val="pt-BR"/>
        </w:rPr>
        <w:t>Based</w:t>
      </w:r>
      <w:proofErr w:type="spellEnd"/>
      <w:r w:rsidRPr="00517F1C">
        <w:rPr>
          <w:lang w:val="pt-BR"/>
        </w:rPr>
        <w:t xml:space="preserve"> </w:t>
      </w:r>
      <w:proofErr w:type="spellStart"/>
      <w:r w:rsidRPr="00517F1C">
        <w:rPr>
          <w:lang w:val="pt-BR"/>
        </w:rPr>
        <w:t>on</w:t>
      </w:r>
      <w:proofErr w:type="spellEnd"/>
      <w:r w:rsidRPr="00517F1C">
        <w:rPr>
          <w:lang w:val="pt-BR"/>
        </w:rPr>
        <w:t xml:space="preserve"> Graphene Quantum Dots. </w:t>
      </w:r>
      <w:proofErr w:type="spellStart"/>
      <w:r w:rsidRPr="00517F1C">
        <w:rPr>
          <w:i/>
          <w:iCs/>
          <w:lang w:val="pt-BR"/>
        </w:rPr>
        <w:t>Cancers</w:t>
      </w:r>
      <w:proofErr w:type="spellEnd"/>
      <w:r w:rsidRPr="00517F1C">
        <w:rPr>
          <w:lang w:val="pt-BR"/>
        </w:rPr>
        <w:t xml:space="preserve"> </w:t>
      </w:r>
      <w:r w:rsidRPr="00517F1C">
        <w:rPr>
          <w:b/>
          <w:bCs/>
          <w:lang w:val="pt-BR"/>
        </w:rPr>
        <w:t>13</w:t>
      </w:r>
      <w:r w:rsidRPr="00517F1C">
        <w:rPr>
          <w:lang w:val="pt-BR"/>
        </w:rPr>
        <w:t>, 3194 (2021).</w:t>
      </w:r>
    </w:p>
    <w:p w14:paraId="241EC117" w14:textId="77777777" w:rsidR="00327F90" w:rsidRPr="00517F1C" w:rsidRDefault="00327F90" w:rsidP="00327F90">
      <w:pPr>
        <w:pStyle w:val="Abstract"/>
        <w:spacing w:after="0"/>
        <w:ind w:left="0"/>
        <w:rPr>
          <w:lang w:val="pt-BR"/>
        </w:rPr>
      </w:pPr>
      <w:r w:rsidRPr="00517F1C">
        <w:rPr>
          <w:lang w:val="pt-BR"/>
        </w:rPr>
        <w:t>4.</w:t>
      </w:r>
      <w:r w:rsidRPr="00517F1C">
        <w:rPr>
          <w:lang w:val="pt-BR"/>
        </w:rPr>
        <w:tab/>
      </w:r>
      <w:proofErr w:type="spellStart"/>
      <w:r w:rsidRPr="00517F1C">
        <w:rPr>
          <w:lang w:val="pt-BR"/>
        </w:rPr>
        <w:t>Zhuang</w:t>
      </w:r>
      <w:proofErr w:type="spellEnd"/>
      <w:r w:rsidRPr="00517F1C">
        <w:rPr>
          <w:lang w:val="pt-BR"/>
        </w:rPr>
        <w:t xml:space="preserve">, J., </w:t>
      </w:r>
      <w:proofErr w:type="spellStart"/>
      <w:r w:rsidRPr="00517F1C">
        <w:rPr>
          <w:lang w:val="pt-BR"/>
        </w:rPr>
        <w:t>Wan</w:t>
      </w:r>
      <w:proofErr w:type="spellEnd"/>
      <w:r w:rsidRPr="00517F1C">
        <w:rPr>
          <w:lang w:val="pt-BR"/>
        </w:rPr>
        <w:t xml:space="preserve">, H. &amp; Zhang, X. </w:t>
      </w:r>
      <w:proofErr w:type="spellStart"/>
      <w:r w:rsidRPr="00517F1C">
        <w:rPr>
          <w:lang w:val="pt-BR"/>
        </w:rPr>
        <w:t>Electrochemical</w:t>
      </w:r>
      <w:proofErr w:type="spellEnd"/>
      <w:r w:rsidRPr="00517F1C">
        <w:rPr>
          <w:lang w:val="pt-BR"/>
        </w:rPr>
        <w:t xml:space="preserve"> </w:t>
      </w:r>
      <w:proofErr w:type="spellStart"/>
      <w:r w:rsidRPr="00517F1C">
        <w:rPr>
          <w:lang w:val="pt-BR"/>
        </w:rPr>
        <w:t>detection</w:t>
      </w:r>
      <w:proofErr w:type="spellEnd"/>
      <w:r w:rsidRPr="00517F1C">
        <w:rPr>
          <w:lang w:val="pt-BR"/>
        </w:rPr>
        <w:t xml:space="preserve"> of miRNA-100 in </w:t>
      </w:r>
      <w:proofErr w:type="spellStart"/>
      <w:r w:rsidRPr="00517F1C">
        <w:rPr>
          <w:lang w:val="pt-BR"/>
        </w:rPr>
        <w:t>the</w:t>
      </w:r>
      <w:proofErr w:type="spellEnd"/>
      <w:r w:rsidRPr="00517F1C">
        <w:rPr>
          <w:lang w:val="pt-BR"/>
        </w:rPr>
        <w:t xml:space="preserve"> </w:t>
      </w:r>
      <w:proofErr w:type="spellStart"/>
      <w:r w:rsidRPr="00517F1C">
        <w:rPr>
          <w:lang w:val="pt-BR"/>
        </w:rPr>
        <w:t>sera</w:t>
      </w:r>
      <w:proofErr w:type="spellEnd"/>
      <w:r w:rsidRPr="00517F1C">
        <w:rPr>
          <w:lang w:val="pt-BR"/>
        </w:rPr>
        <w:t xml:space="preserve"> of </w:t>
      </w:r>
      <w:proofErr w:type="spellStart"/>
      <w:r w:rsidRPr="00517F1C">
        <w:rPr>
          <w:lang w:val="pt-BR"/>
        </w:rPr>
        <w:t>gastric</w:t>
      </w:r>
      <w:proofErr w:type="spellEnd"/>
      <w:r w:rsidRPr="00517F1C">
        <w:rPr>
          <w:lang w:val="pt-BR"/>
        </w:rPr>
        <w:t xml:space="preserve"> </w:t>
      </w:r>
      <w:proofErr w:type="spellStart"/>
      <w:r w:rsidRPr="00517F1C">
        <w:rPr>
          <w:lang w:val="pt-BR"/>
        </w:rPr>
        <w:t>cancer</w:t>
      </w:r>
      <w:proofErr w:type="spellEnd"/>
      <w:r w:rsidRPr="00517F1C">
        <w:rPr>
          <w:lang w:val="pt-BR"/>
        </w:rPr>
        <w:t xml:space="preserve"> </w:t>
      </w:r>
      <w:proofErr w:type="spellStart"/>
      <w:r w:rsidRPr="00517F1C">
        <w:rPr>
          <w:lang w:val="pt-BR"/>
        </w:rPr>
        <w:t>patients</w:t>
      </w:r>
      <w:proofErr w:type="spellEnd"/>
      <w:r w:rsidRPr="00517F1C">
        <w:rPr>
          <w:lang w:val="pt-BR"/>
        </w:rPr>
        <w:t xml:space="preserve"> </w:t>
      </w:r>
      <w:proofErr w:type="spellStart"/>
      <w:r w:rsidRPr="00517F1C">
        <w:rPr>
          <w:lang w:val="pt-BR"/>
        </w:rPr>
        <w:t>based</w:t>
      </w:r>
      <w:proofErr w:type="spellEnd"/>
      <w:r w:rsidRPr="00517F1C">
        <w:rPr>
          <w:lang w:val="pt-BR"/>
        </w:rPr>
        <w:t xml:space="preserve"> </w:t>
      </w:r>
      <w:proofErr w:type="spellStart"/>
      <w:r w:rsidRPr="00517F1C">
        <w:rPr>
          <w:lang w:val="pt-BR"/>
        </w:rPr>
        <w:t>on</w:t>
      </w:r>
      <w:proofErr w:type="spellEnd"/>
      <w:r w:rsidRPr="00517F1C">
        <w:rPr>
          <w:lang w:val="pt-BR"/>
        </w:rPr>
        <w:t xml:space="preserve"> DSN-</w:t>
      </w:r>
      <w:proofErr w:type="spellStart"/>
      <w:r w:rsidRPr="00517F1C">
        <w:rPr>
          <w:lang w:val="pt-BR"/>
        </w:rPr>
        <w:t>assisted</w:t>
      </w:r>
      <w:proofErr w:type="spellEnd"/>
      <w:r w:rsidRPr="00517F1C">
        <w:rPr>
          <w:lang w:val="pt-BR"/>
        </w:rPr>
        <w:t xml:space="preserve"> </w:t>
      </w:r>
      <w:proofErr w:type="spellStart"/>
      <w:r w:rsidRPr="00517F1C">
        <w:rPr>
          <w:lang w:val="pt-BR"/>
        </w:rPr>
        <w:t>amplification</w:t>
      </w:r>
      <w:proofErr w:type="spellEnd"/>
      <w:r w:rsidRPr="00517F1C">
        <w:rPr>
          <w:lang w:val="pt-BR"/>
        </w:rPr>
        <w:t xml:space="preserve">. </w:t>
      </w:r>
      <w:proofErr w:type="spellStart"/>
      <w:r w:rsidRPr="00517F1C">
        <w:rPr>
          <w:i/>
          <w:iCs/>
          <w:lang w:val="pt-BR"/>
        </w:rPr>
        <w:t>Talanta</w:t>
      </w:r>
      <w:proofErr w:type="spellEnd"/>
      <w:r w:rsidRPr="00517F1C">
        <w:rPr>
          <w:lang w:val="pt-BR"/>
        </w:rPr>
        <w:t xml:space="preserve"> </w:t>
      </w:r>
      <w:r w:rsidRPr="00517F1C">
        <w:rPr>
          <w:b/>
          <w:bCs/>
          <w:lang w:val="pt-BR"/>
        </w:rPr>
        <w:t>225</w:t>
      </w:r>
      <w:r w:rsidRPr="00517F1C">
        <w:rPr>
          <w:lang w:val="pt-BR"/>
        </w:rPr>
        <w:t>, 121981 (2021).</w:t>
      </w:r>
    </w:p>
    <w:p w14:paraId="4AE24CF2" w14:textId="77777777" w:rsidR="00327F90" w:rsidRPr="00517F1C" w:rsidRDefault="00327F90" w:rsidP="00327F90">
      <w:pPr>
        <w:pStyle w:val="Abstract"/>
        <w:spacing w:after="0"/>
        <w:ind w:left="0"/>
        <w:rPr>
          <w:lang w:val="pt-BR"/>
        </w:rPr>
      </w:pPr>
      <w:r w:rsidRPr="00517F1C">
        <w:rPr>
          <w:lang w:val="pt-BR"/>
        </w:rPr>
        <w:t>5.</w:t>
      </w:r>
      <w:r w:rsidRPr="00517F1C">
        <w:rPr>
          <w:lang w:val="pt-BR"/>
        </w:rPr>
        <w:tab/>
      </w:r>
      <w:proofErr w:type="spellStart"/>
      <w:r w:rsidRPr="00517F1C">
        <w:rPr>
          <w:lang w:val="pt-BR"/>
        </w:rPr>
        <w:t>Pothipor</w:t>
      </w:r>
      <w:proofErr w:type="spellEnd"/>
      <w:r w:rsidRPr="00517F1C">
        <w:rPr>
          <w:lang w:val="pt-BR"/>
        </w:rPr>
        <w:t xml:space="preserve">, C., </w:t>
      </w:r>
      <w:proofErr w:type="spellStart"/>
      <w:r w:rsidRPr="00517F1C">
        <w:rPr>
          <w:lang w:val="pt-BR"/>
        </w:rPr>
        <w:t>Bamrungsap</w:t>
      </w:r>
      <w:proofErr w:type="spellEnd"/>
      <w:r w:rsidRPr="00517F1C">
        <w:rPr>
          <w:lang w:val="pt-BR"/>
        </w:rPr>
        <w:t xml:space="preserve">, S., </w:t>
      </w:r>
      <w:proofErr w:type="spellStart"/>
      <w:r w:rsidRPr="00517F1C">
        <w:rPr>
          <w:lang w:val="pt-BR"/>
        </w:rPr>
        <w:t>Jakmunee</w:t>
      </w:r>
      <w:proofErr w:type="spellEnd"/>
      <w:r w:rsidRPr="00517F1C">
        <w:rPr>
          <w:lang w:val="pt-BR"/>
        </w:rPr>
        <w:t xml:space="preserve">, J. &amp; </w:t>
      </w:r>
      <w:proofErr w:type="spellStart"/>
      <w:r w:rsidRPr="00517F1C">
        <w:rPr>
          <w:lang w:val="pt-BR"/>
        </w:rPr>
        <w:t>Ounnunkad</w:t>
      </w:r>
      <w:proofErr w:type="spellEnd"/>
      <w:r w:rsidRPr="00517F1C">
        <w:rPr>
          <w:lang w:val="pt-BR"/>
        </w:rPr>
        <w:t xml:space="preserve">, K. A </w:t>
      </w:r>
      <w:proofErr w:type="spellStart"/>
      <w:r w:rsidRPr="00517F1C">
        <w:rPr>
          <w:lang w:val="pt-BR"/>
        </w:rPr>
        <w:t>gold</w:t>
      </w:r>
      <w:proofErr w:type="spellEnd"/>
      <w:r w:rsidRPr="00517F1C">
        <w:rPr>
          <w:lang w:val="pt-BR"/>
        </w:rPr>
        <w:t xml:space="preserve"> </w:t>
      </w:r>
      <w:proofErr w:type="spellStart"/>
      <w:r w:rsidRPr="00517F1C">
        <w:rPr>
          <w:lang w:val="pt-BR"/>
        </w:rPr>
        <w:t>nanoparticle-dye</w:t>
      </w:r>
      <w:proofErr w:type="spellEnd"/>
      <w:r w:rsidRPr="00517F1C">
        <w:rPr>
          <w:lang w:val="pt-BR"/>
        </w:rPr>
        <w:t>/</w:t>
      </w:r>
      <w:proofErr w:type="spellStart"/>
      <w:r w:rsidRPr="00517F1C">
        <w:rPr>
          <w:lang w:val="pt-BR"/>
        </w:rPr>
        <w:t>poly</w:t>
      </w:r>
      <w:proofErr w:type="spellEnd"/>
      <w:r w:rsidRPr="00517F1C">
        <w:rPr>
          <w:lang w:val="pt-BR"/>
        </w:rPr>
        <w:t>(3-</w:t>
      </w:r>
      <w:proofErr w:type="gramStart"/>
      <w:r w:rsidRPr="00517F1C">
        <w:rPr>
          <w:lang w:val="pt-BR"/>
        </w:rPr>
        <w:t>aminobenzylamine)/</w:t>
      </w:r>
      <w:proofErr w:type="spellStart"/>
      <w:proofErr w:type="gramEnd"/>
      <w:r w:rsidRPr="00517F1C">
        <w:rPr>
          <w:lang w:val="pt-BR"/>
        </w:rPr>
        <w:t>two</w:t>
      </w:r>
      <w:proofErr w:type="spellEnd"/>
      <w:r w:rsidRPr="00517F1C">
        <w:rPr>
          <w:lang w:val="pt-BR"/>
        </w:rPr>
        <w:t xml:space="preserve"> dimensional MoSe2/graphene oxide </w:t>
      </w:r>
      <w:proofErr w:type="spellStart"/>
      <w:r w:rsidRPr="00517F1C">
        <w:rPr>
          <w:lang w:val="pt-BR"/>
        </w:rPr>
        <w:t>electrode</w:t>
      </w:r>
      <w:proofErr w:type="spellEnd"/>
      <w:r w:rsidRPr="00517F1C">
        <w:rPr>
          <w:lang w:val="pt-BR"/>
        </w:rPr>
        <w:t xml:space="preserve"> </w:t>
      </w:r>
      <w:proofErr w:type="spellStart"/>
      <w:r w:rsidRPr="00517F1C">
        <w:rPr>
          <w:lang w:val="pt-BR"/>
        </w:rPr>
        <w:t>towards</w:t>
      </w:r>
      <w:proofErr w:type="spellEnd"/>
      <w:r w:rsidRPr="00517F1C">
        <w:rPr>
          <w:lang w:val="pt-BR"/>
        </w:rPr>
        <w:t xml:space="preserve"> </w:t>
      </w:r>
      <w:proofErr w:type="spellStart"/>
      <w:r w:rsidRPr="00517F1C">
        <w:rPr>
          <w:lang w:val="pt-BR"/>
        </w:rPr>
        <w:t>label-free</w:t>
      </w:r>
      <w:proofErr w:type="spellEnd"/>
      <w:r w:rsidRPr="00517F1C">
        <w:rPr>
          <w:lang w:val="pt-BR"/>
        </w:rPr>
        <w:t xml:space="preserve"> </w:t>
      </w:r>
      <w:proofErr w:type="spellStart"/>
      <w:r w:rsidRPr="00517F1C">
        <w:rPr>
          <w:lang w:val="pt-BR"/>
        </w:rPr>
        <w:t>electrochemical</w:t>
      </w:r>
      <w:proofErr w:type="spellEnd"/>
      <w:r w:rsidRPr="00517F1C">
        <w:rPr>
          <w:lang w:val="pt-BR"/>
        </w:rPr>
        <w:t xml:space="preserve"> </w:t>
      </w:r>
      <w:proofErr w:type="spellStart"/>
      <w:r w:rsidRPr="00517F1C">
        <w:rPr>
          <w:lang w:val="pt-BR"/>
        </w:rPr>
        <w:t>biosensor</w:t>
      </w:r>
      <w:proofErr w:type="spellEnd"/>
      <w:r w:rsidRPr="00517F1C">
        <w:rPr>
          <w:lang w:val="pt-BR"/>
        </w:rPr>
        <w:t xml:space="preserve"> for </w:t>
      </w:r>
      <w:proofErr w:type="spellStart"/>
      <w:r w:rsidRPr="00517F1C">
        <w:rPr>
          <w:lang w:val="pt-BR"/>
        </w:rPr>
        <w:t>simultaneous</w:t>
      </w:r>
      <w:proofErr w:type="spellEnd"/>
      <w:r w:rsidRPr="00517F1C">
        <w:rPr>
          <w:lang w:val="pt-BR"/>
        </w:rPr>
        <w:t xml:space="preserve"> dual-</w:t>
      </w:r>
      <w:proofErr w:type="spellStart"/>
      <w:r w:rsidRPr="00517F1C">
        <w:rPr>
          <w:lang w:val="pt-BR"/>
        </w:rPr>
        <w:t>mode</w:t>
      </w:r>
      <w:proofErr w:type="spellEnd"/>
      <w:r w:rsidRPr="00517F1C">
        <w:rPr>
          <w:lang w:val="pt-BR"/>
        </w:rPr>
        <w:t xml:space="preserve"> </w:t>
      </w:r>
      <w:proofErr w:type="spellStart"/>
      <w:r w:rsidRPr="00517F1C">
        <w:rPr>
          <w:lang w:val="pt-BR"/>
        </w:rPr>
        <w:t>detection</w:t>
      </w:r>
      <w:proofErr w:type="spellEnd"/>
      <w:r w:rsidRPr="00517F1C">
        <w:rPr>
          <w:lang w:val="pt-BR"/>
        </w:rPr>
        <w:t xml:space="preserve"> of </w:t>
      </w:r>
      <w:proofErr w:type="spellStart"/>
      <w:r w:rsidRPr="00517F1C">
        <w:rPr>
          <w:lang w:val="pt-BR"/>
        </w:rPr>
        <w:t>cancer</w:t>
      </w:r>
      <w:proofErr w:type="spellEnd"/>
      <w:r w:rsidRPr="00517F1C">
        <w:rPr>
          <w:lang w:val="pt-BR"/>
        </w:rPr>
        <w:t xml:space="preserve"> </w:t>
      </w:r>
      <w:proofErr w:type="spellStart"/>
      <w:r w:rsidRPr="00517F1C">
        <w:rPr>
          <w:lang w:val="pt-BR"/>
        </w:rPr>
        <w:t>antigen</w:t>
      </w:r>
      <w:proofErr w:type="spellEnd"/>
      <w:r w:rsidRPr="00517F1C">
        <w:rPr>
          <w:lang w:val="pt-BR"/>
        </w:rPr>
        <w:t xml:space="preserve"> 15-3 </w:t>
      </w:r>
      <w:proofErr w:type="spellStart"/>
      <w:r w:rsidRPr="00517F1C">
        <w:rPr>
          <w:lang w:val="pt-BR"/>
        </w:rPr>
        <w:t>and</w:t>
      </w:r>
      <w:proofErr w:type="spellEnd"/>
      <w:r w:rsidRPr="00517F1C">
        <w:rPr>
          <w:lang w:val="pt-BR"/>
        </w:rPr>
        <w:t xml:space="preserve"> microRNA-21. </w:t>
      </w:r>
      <w:proofErr w:type="spellStart"/>
      <w:r w:rsidRPr="00517F1C">
        <w:rPr>
          <w:i/>
          <w:iCs/>
          <w:lang w:val="pt-BR"/>
        </w:rPr>
        <w:t>Colloids</w:t>
      </w:r>
      <w:proofErr w:type="spellEnd"/>
      <w:r w:rsidRPr="00517F1C">
        <w:rPr>
          <w:i/>
          <w:iCs/>
          <w:lang w:val="pt-BR"/>
        </w:rPr>
        <w:t xml:space="preserve"> </w:t>
      </w:r>
      <w:proofErr w:type="spellStart"/>
      <w:r w:rsidRPr="00517F1C">
        <w:rPr>
          <w:i/>
          <w:iCs/>
          <w:lang w:val="pt-BR"/>
        </w:rPr>
        <w:t>and</w:t>
      </w:r>
      <w:proofErr w:type="spellEnd"/>
      <w:r w:rsidRPr="00517F1C">
        <w:rPr>
          <w:i/>
          <w:iCs/>
          <w:lang w:val="pt-BR"/>
        </w:rPr>
        <w:t xml:space="preserve"> Surfaces B: </w:t>
      </w:r>
      <w:proofErr w:type="spellStart"/>
      <w:r w:rsidRPr="00517F1C">
        <w:rPr>
          <w:i/>
          <w:iCs/>
          <w:lang w:val="pt-BR"/>
        </w:rPr>
        <w:t>Biointerfaces</w:t>
      </w:r>
      <w:proofErr w:type="spellEnd"/>
      <w:r w:rsidRPr="00517F1C">
        <w:rPr>
          <w:lang w:val="pt-BR"/>
        </w:rPr>
        <w:t xml:space="preserve"> </w:t>
      </w:r>
      <w:r w:rsidRPr="00517F1C">
        <w:rPr>
          <w:b/>
          <w:bCs/>
          <w:lang w:val="pt-BR"/>
        </w:rPr>
        <w:t>210</w:t>
      </w:r>
      <w:r w:rsidRPr="00517F1C">
        <w:rPr>
          <w:lang w:val="pt-BR"/>
        </w:rPr>
        <w:t>, 112260 (2022).</w:t>
      </w:r>
    </w:p>
    <w:p w14:paraId="5CFD7F23" w14:textId="66AEC597" w:rsidR="009A0487" w:rsidRDefault="00327F90" w:rsidP="00327F90">
      <w:pPr>
        <w:pStyle w:val="Sectionnonumber"/>
        <w:spacing w:before="0"/>
        <w:jc w:val="both"/>
      </w:pPr>
      <w:r w:rsidRPr="00517F1C">
        <w:fldChar w:fldCharType="end"/>
      </w:r>
    </w:p>
    <w:sectPr w:rsidR="009A0487">
      <w:headerReference w:type="even" r:id="rId9"/>
      <w:headerReference w:type="default" r:id="rId10"/>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0DAE0" w14:textId="77777777" w:rsidR="0084738D" w:rsidRDefault="0084738D">
      <w:r>
        <w:separator/>
      </w:r>
    </w:p>
  </w:endnote>
  <w:endnote w:type="continuationSeparator" w:id="0">
    <w:p w14:paraId="6AEA70B4" w14:textId="77777777" w:rsidR="0084738D" w:rsidRDefault="00847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abo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07508" w14:textId="77777777" w:rsidR="0084738D" w:rsidRPr="00043761" w:rsidRDefault="0084738D">
      <w:pPr>
        <w:pStyle w:val="Bulleted"/>
        <w:numPr>
          <w:ilvl w:val="0"/>
          <w:numId w:val="0"/>
        </w:numPr>
        <w:rPr>
          <w:rFonts w:ascii="Sabon" w:hAnsi="Sabon"/>
          <w:color w:val="auto"/>
          <w:szCs w:val="20"/>
        </w:rPr>
      </w:pPr>
      <w:r>
        <w:separator/>
      </w:r>
    </w:p>
  </w:footnote>
  <w:footnote w:type="continuationSeparator" w:id="0">
    <w:p w14:paraId="505ABCAE" w14:textId="77777777" w:rsidR="0084738D" w:rsidRDefault="00847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9CA62" w14:textId="77777777" w:rsidR="009A0487" w:rsidRDefault="009A04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7F207" w14:textId="77777777" w:rsidR="009A0487" w:rsidRDefault="009A0487"/>
  <w:p w14:paraId="361CEE34" w14:textId="77777777" w:rsidR="009A0487" w:rsidRDefault="009A0487"/>
  <w:p w14:paraId="0EEB1DE1" w14:textId="77777777" w:rsidR="009A0487" w:rsidRDefault="009A0487"/>
  <w:p w14:paraId="6CE6042C" w14:textId="77777777" w:rsidR="009A0487" w:rsidRDefault="009A0487"/>
  <w:p w14:paraId="4F3AF81B" w14:textId="77777777" w:rsidR="009A0487" w:rsidRDefault="009A0487"/>
  <w:p w14:paraId="244D01D8" w14:textId="77777777"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CE5D00"/>
    <w:multiLevelType w:val="multilevel"/>
    <w:tmpl w:val="04090023"/>
    <w:lvl w:ilvl="0">
      <w:start w:val="1"/>
      <w:numFmt w:val="upperRoman"/>
      <w:pStyle w:val="Ttulo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num w:numId="1" w16cid:durableId="1621065252">
    <w:abstractNumId w:val="3"/>
  </w:num>
  <w:num w:numId="2" w16cid:durableId="119308043">
    <w:abstractNumId w:val="1"/>
  </w:num>
  <w:num w:numId="3" w16cid:durableId="133720392">
    <w:abstractNumId w:val="0"/>
  </w:num>
  <w:num w:numId="4" w16cid:durableId="20422189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s-CL" w:vendorID="64" w:dllVersion="0" w:nlCheck="1" w:checkStyle="0"/>
  <w:activeWritingStyle w:appName="MSWord" w:lang="pt-B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E4"/>
    <w:rsid w:val="00006EA6"/>
    <w:rsid w:val="001E6017"/>
    <w:rsid w:val="00217A99"/>
    <w:rsid w:val="00327CAE"/>
    <w:rsid w:val="00327F90"/>
    <w:rsid w:val="005158FA"/>
    <w:rsid w:val="00517F1C"/>
    <w:rsid w:val="00544428"/>
    <w:rsid w:val="006138BD"/>
    <w:rsid w:val="006F45A4"/>
    <w:rsid w:val="00705267"/>
    <w:rsid w:val="00733CB3"/>
    <w:rsid w:val="0084738D"/>
    <w:rsid w:val="00952C7B"/>
    <w:rsid w:val="009835AC"/>
    <w:rsid w:val="009A0487"/>
    <w:rsid w:val="00B05982"/>
    <w:rsid w:val="00B83F45"/>
    <w:rsid w:val="00BB20D4"/>
    <w:rsid w:val="00D03909"/>
    <w:rsid w:val="00E145C8"/>
    <w:rsid w:val="00EE07BA"/>
    <w:rsid w:val="00EF6BE4"/>
    <w:rsid w:val="00F6568B"/>
    <w:rsid w:val="00FA58F9"/>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C49E3"/>
  <w15:docId w15:val="{E76D9EA3-9F7C-47F1-AF15-B8383F41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Ttulo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Ttulo2">
    <w:name w:val="heading 2"/>
    <w:basedOn w:val="Subsection"/>
    <w:next w:val="Normal"/>
    <w:autoRedefine/>
    <w:qFormat/>
    <w:rsid w:val="00733CB3"/>
    <w:pPr>
      <w:outlineLvl w:val="1"/>
    </w:pPr>
    <w:rPr>
      <w:i/>
    </w:rPr>
  </w:style>
  <w:style w:type="paragraph" w:styleId="Ttulo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qFormat/>
    <w:pPr>
      <w:numPr>
        <w:ilvl w:val="4"/>
        <w:numId w:val="1"/>
      </w:numPr>
      <w:spacing w:before="240" w:after="60"/>
      <w:outlineLvl w:val="4"/>
    </w:pPr>
    <w:rPr>
      <w:b/>
      <w:bCs/>
      <w:i/>
      <w:iCs/>
      <w:sz w:val="26"/>
      <w:szCs w:val="26"/>
    </w:rPr>
  </w:style>
  <w:style w:type="paragraph" w:styleId="Ttulo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Ttulo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Ttulo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Ttulo9">
    <w:name w:val="heading 9"/>
    <w:basedOn w:val="Normal"/>
    <w:next w:val="Normal"/>
    <w:qFormat/>
    <w:pPr>
      <w:numPr>
        <w:ilvl w:val="8"/>
        <w:numId w:val="1"/>
      </w:numPr>
      <w:spacing w:before="240" w:after="60"/>
      <w:outlineLvl w:val="8"/>
    </w:pPr>
    <w:rPr>
      <w:rFonts w:ascii="Arial" w:hAnsi="Arial" w:cs="Arial"/>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Textonotapie">
    <w:name w:val="footnote text"/>
    <w:basedOn w:val="Normal"/>
    <w:semiHidden/>
    <w:rPr>
      <w:sz w:val="20"/>
    </w:rPr>
  </w:style>
  <w:style w:type="character" w:styleId="Refdenotaalpi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Textonotaalfinal">
    <w:name w:val="endnote text"/>
    <w:basedOn w:val="Normal"/>
    <w:semiHidden/>
    <w:rPr>
      <w:sz w:val="20"/>
    </w:rPr>
  </w:style>
  <w:style w:type="character" w:styleId="Refdenotaalfinal">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Nmerodepgina">
    <w:name w:val="page number"/>
    <w:basedOn w:val="Fuentedeprrafopredeter"/>
    <w:semiHidden/>
  </w:style>
  <w:style w:type="paragraph" w:styleId="Ttulo">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ipervnculo">
    <w:name w:val="Hyperlink"/>
    <w:basedOn w:val="Fuentedeprrafopredeter"/>
    <w:uiPriority w:val="99"/>
    <w:unhideWhenUsed/>
    <w:rsid w:val="00EE07BA"/>
    <w:rPr>
      <w:color w:val="0000FF" w:themeColor="hyperlink"/>
      <w:u w:val="single"/>
    </w:rPr>
  </w:style>
  <w:style w:type="character" w:styleId="Mencinsinresolver">
    <w:name w:val="Unresolved Mention"/>
    <w:basedOn w:val="Fuentedeprrafopredeter"/>
    <w:uiPriority w:val="99"/>
    <w:semiHidden/>
    <w:unhideWhenUsed/>
    <w:rsid w:val="00EE07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69346">
      <w:bodyDiv w:val="1"/>
      <w:marLeft w:val="0"/>
      <w:marRight w:val="0"/>
      <w:marTop w:val="0"/>
      <w:marBottom w:val="0"/>
      <w:divBdr>
        <w:top w:val="none" w:sz="0" w:space="0" w:color="auto"/>
        <w:left w:val="none" w:sz="0" w:space="0" w:color="auto"/>
        <w:bottom w:val="none" w:sz="0" w:space="0" w:color="auto"/>
        <w:right w:val="none" w:sz="0" w:space="0" w:color="auto"/>
      </w:divBdr>
    </w:div>
    <w:div w:id="280574293">
      <w:bodyDiv w:val="1"/>
      <w:marLeft w:val="0"/>
      <w:marRight w:val="0"/>
      <w:marTop w:val="0"/>
      <w:marBottom w:val="0"/>
      <w:divBdr>
        <w:top w:val="none" w:sz="0" w:space="0" w:color="auto"/>
        <w:left w:val="none" w:sz="0" w:space="0" w:color="auto"/>
        <w:bottom w:val="none" w:sz="0" w:space="0" w:color="auto"/>
        <w:right w:val="none" w:sz="0" w:space="0" w:color="auto"/>
      </w:divBdr>
    </w:div>
    <w:div w:id="398136910">
      <w:bodyDiv w:val="1"/>
      <w:marLeft w:val="0"/>
      <w:marRight w:val="0"/>
      <w:marTop w:val="0"/>
      <w:marBottom w:val="0"/>
      <w:divBdr>
        <w:top w:val="none" w:sz="0" w:space="0" w:color="auto"/>
        <w:left w:val="none" w:sz="0" w:space="0" w:color="auto"/>
        <w:bottom w:val="none" w:sz="0" w:space="0" w:color="auto"/>
        <w:right w:val="none" w:sz="0" w:space="0" w:color="auto"/>
      </w:divBdr>
    </w:div>
    <w:div w:id="1005283803">
      <w:bodyDiv w:val="1"/>
      <w:marLeft w:val="0"/>
      <w:marRight w:val="0"/>
      <w:marTop w:val="0"/>
      <w:marBottom w:val="0"/>
      <w:divBdr>
        <w:top w:val="none" w:sz="0" w:space="0" w:color="auto"/>
        <w:left w:val="none" w:sz="0" w:space="0" w:color="auto"/>
        <w:bottom w:val="none" w:sz="0" w:space="0" w:color="auto"/>
        <w:right w:val="none" w:sz="0" w:space="0" w:color="auto"/>
      </w:divBdr>
    </w:div>
    <w:div w:id="1692560947">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es@udec.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9C091-F326-4E50-985E-64F25D6AA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8</TotalTime>
  <Pages>2</Pages>
  <Words>2044</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 </vt:lpstr>
    </vt:vector>
  </TitlesOfParts>
  <Company>IOP Publishing</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Adrian Alejandro Ges Naranjo</cp:lastModifiedBy>
  <cp:revision>5</cp:revision>
  <cp:lastPrinted>2005-02-25T09:52:00Z</cp:lastPrinted>
  <dcterms:created xsi:type="dcterms:W3CDTF">2025-01-03T14:30:00Z</dcterms:created>
  <dcterms:modified xsi:type="dcterms:W3CDTF">2025-01-03T14:39:00Z</dcterms:modified>
</cp:coreProperties>
</file>